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1E40" w14:textId="77777777" w:rsidR="00357646" w:rsidRDefault="00357646" w:rsidP="00357646">
      <w:pPr>
        <w:rPr>
          <w:rFonts w:ascii="Cambria" w:hAnsi="Cambria" w:cs="Arabic Typesetting"/>
          <w:b/>
          <w:sz w:val="20"/>
          <w:szCs w:val="20"/>
        </w:rPr>
      </w:pPr>
    </w:p>
    <w:p w14:paraId="4BE653B8" w14:textId="77777777" w:rsidR="00357646" w:rsidRPr="003D5333" w:rsidRDefault="00357646" w:rsidP="00357646">
      <w:pPr>
        <w:rPr>
          <w:rFonts w:ascii="Cambria" w:hAnsi="Cambria" w:cs="Arabic Typesetting"/>
          <w:sz w:val="20"/>
          <w:szCs w:val="20"/>
        </w:rPr>
      </w:pPr>
    </w:p>
    <w:p w14:paraId="2B46E1AA" w14:textId="747E23D4" w:rsidR="00BF6A1F" w:rsidRPr="00002B77" w:rsidRDefault="00BF6A1F" w:rsidP="00357646">
      <w:pPr>
        <w:rPr>
          <w:rFonts w:ascii="Cambria" w:hAnsi="Cambria" w:cs="Arabic Typesetting"/>
          <w:b/>
        </w:rPr>
      </w:pPr>
      <w:r w:rsidRPr="00002B77">
        <w:rPr>
          <w:rFonts w:ascii="Cambria" w:hAnsi="Cambria" w:cs="Arabic Typesetting"/>
          <w:b/>
        </w:rPr>
        <w:t>RELS 222</w:t>
      </w:r>
      <w:r w:rsidR="00002B77">
        <w:rPr>
          <w:rFonts w:ascii="Cambria" w:hAnsi="Cambria" w:cs="Arabic Typesetting"/>
          <w:b/>
        </w:rPr>
        <w:t xml:space="preserve"> Islam Spring 2022</w:t>
      </w:r>
    </w:p>
    <w:p w14:paraId="6307C817" w14:textId="77777777" w:rsidR="00BF6A1F" w:rsidRDefault="00BF6A1F" w:rsidP="00357646">
      <w:pPr>
        <w:rPr>
          <w:rFonts w:ascii="Cambria" w:hAnsi="Cambria" w:cs="Arabic Typesetting"/>
          <w:b/>
          <w:sz w:val="20"/>
          <w:szCs w:val="20"/>
          <w:u w:val="single"/>
        </w:rPr>
      </w:pPr>
    </w:p>
    <w:p w14:paraId="5E2684D8" w14:textId="748D1266" w:rsidR="00357646" w:rsidRPr="00002B77" w:rsidRDefault="00357646" w:rsidP="00357646">
      <w:pPr>
        <w:rPr>
          <w:rFonts w:ascii="Cambria" w:hAnsi="Cambria" w:cs="Arabic Typesetting"/>
          <w:b/>
          <w:u w:val="single"/>
        </w:rPr>
      </w:pPr>
      <w:r w:rsidRPr="00002B77">
        <w:rPr>
          <w:rFonts w:ascii="Cambria" w:hAnsi="Cambria" w:cs="Arabic Typesetting"/>
          <w:b/>
          <w:u w:val="single"/>
        </w:rPr>
        <w:t xml:space="preserve">Final Paper </w:t>
      </w:r>
    </w:p>
    <w:p w14:paraId="06C34BDB" w14:textId="77777777" w:rsidR="00357646" w:rsidRPr="00002B77" w:rsidRDefault="00357646" w:rsidP="00357646">
      <w:pPr>
        <w:rPr>
          <w:rFonts w:ascii="Cambria" w:hAnsi="Cambria" w:cs="Arabic Typesetting"/>
        </w:rPr>
      </w:pPr>
      <w:r w:rsidRPr="00002B77">
        <w:rPr>
          <w:rFonts w:ascii="Cambria" w:hAnsi="Cambria" w:cs="Arabic Typesetting"/>
        </w:rPr>
        <w:t>55 points</w:t>
      </w:r>
    </w:p>
    <w:p w14:paraId="0D41CDEE" w14:textId="22E86A68" w:rsidR="00357646" w:rsidRPr="00002B77" w:rsidRDefault="00EC3B0D" w:rsidP="00357646">
      <w:pPr>
        <w:rPr>
          <w:rFonts w:ascii="Cambria" w:hAnsi="Cambria" w:cs="Arabic Typesetting"/>
        </w:rPr>
      </w:pPr>
      <w:r>
        <w:rPr>
          <w:rFonts w:ascii="Cambria" w:hAnsi="Cambria" w:cs="Arabic Typesetting"/>
        </w:rPr>
        <w:t>6-</w:t>
      </w:r>
      <w:r w:rsidR="00357646" w:rsidRPr="00002B77">
        <w:rPr>
          <w:rFonts w:ascii="Cambria" w:hAnsi="Cambria" w:cs="Arabic Typesetting"/>
        </w:rPr>
        <w:t>8 pages, double-spaced, Times Roman 12-point font</w:t>
      </w:r>
    </w:p>
    <w:p w14:paraId="53D0AD1D" w14:textId="54B05A5B" w:rsidR="00357646" w:rsidRPr="00EC3B0D" w:rsidRDefault="00357646" w:rsidP="00357646">
      <w:pPr>
        <w:rPr>
          <w:rFonts w:ascii="Cambria" w:hAnsi="Cambria" w:cs="Arabic Typesetting"/>
          <w:b/>
          <w:bCs/>
        </w:rPr>
      </w:pPr>
      <w:r w:rsidRPr="00EC3B0D">
        <w:rPr>
          <w:rFonts w:ascii="Cambria" w:hAnsi="Cambria" w:cs="Arabic Typesetting"/>
          <w:b/>
          <w:bCs/>
        </w:rPr>
        <w:t>Choice of topic is due Fri 4/15 (don’t lose 3 points!)</w:t>
      </w:r>
    </w:p>
    <w:p w14:paraId="30730D0E" w14:textId="2F72121B" w:rsidR="00BF6A1F" w:rsidRPr="00002B77" w:rsidRDefault="00EC3B0D" w:rsidP="00BF6A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Paper due </w:t>
      </w:r>
      <w:r w:rsidR="00BF6A1F" w:rsidRPr="00002B77">
        <w:rPr>
          <w:rFonts w:ascii="Cambria" w:hAnsi="Cambria"/>
          <w:b/>
        </w:rPr>
        <w:t>Mon May 9 by 10:30 AM, drop off hard copy at my office</w:t>
      </w:r>
    </w:p>
    <w:p w14:paraId="0C8745AE" w14:textId="7835510B" w:rsidR="00BF6A1F" w:rsidRPr="00002B77" w:rsidRDefault="00BF6A1F" w:rsidP="00357646">
      <w:pPr>
        <w:rPr>
          <w:rFonts w:ascii="Cambria" w:hAnsi="Cambria" w:cs="Arabic Typesetting"/>
        </w:rPr>
      </w:pPr>
    </w:p>
    <w:p w14:paraId="317405C1" w14:textId="37C88319" w:rsidR="00357646" w:rsidRPr="00002B77" w:rsidRDefault="00BF6A1F" w:rsidP="00BF6A1F">
      <w:pPr>
        <w:rPr>
          <w:rFonts w:ascii="Cambria" w:hAnsi="Cambria" w:cs="Arabic Typesetting"/>
        </w:rPr>
      </w:pPr>
      <w:r w:rsidRPr="00002B77">
        <w:rPr>
          <w:rFonts w:ascii="Cambria" w:hAnsi="Cambria" w:cs="Arabic Typesetting"/>
        </w:rPr>
        <w:t xml:space="preserve">Choose one of the following questions. </w:t>
      </w:r>
      <w:r w:rsidR="00357646" w:rsidRPr="00002B77">
        <w:rPr>
          <w:rFonts w:ascii="Cambria" w:hAnsi="Cambria" w:cs="Arabic Typesetting"/>
        </w:rPr>
        <w:t>Cite 5 academic sources</w:t>
      </w:r>
      <w:r w:rsidR="006E4084">
        <w:rPr>
          <w:rFonts w:ascii="Cambria" w:hAnsi="Cambria" w:cs="Arabic Typesetting"/>
        </w:rPr>
        <w:t>, 2 of which must be books</w:t>
      </w:r>
      <w:r w:rsidR="00357646" w:rsidRPr="00002B77">
        <w:rPr>
          <w:rFonts w:ascii="Cambria" w:hAnsi="Cambria" w:cs="Arabic Typesetting"/>
        </w:rPr>
        <w:t xml:space="preserve">. </w:t>
      </w:r>
      <w:r w:rsidR="00357646" w:rsidRPr="00002B77">
        <w:rPr>
          <w:rFonts w:ascii="Cambria" w:hAnsi="Cambria" w:cs="Arabic Typesetting"/>
          <w:b/>
          <w:bCs/>
        </w:rPr>
        <w:t>Primary sources (Qur’an and hadith) and media articles should not be used</w:t>
      </w:r>
      <w:r w:rsidR="00357646" w:rsidRPr="00002B77">
        <w:rPr>
          <w:rFonts w:ascii="Cambria" w:hAnsi="Cambria" w:cs="Arabic Typesetting"/>
        </w:rPr>
        <w:t xml:space="preserve">. This paper is about </w:t>
      </w:r>
      <w:r w:rsidRPr="00002B77">
        <w:rPr>
          <w:rFonts w:ascii="Cambria" w:hAnsi="Cambria" w:cs="Arabic Typesetting"/>
        </w:rPr>
        <w:t xml:space="preserve">showing me that you understand the question and the </w:t>
      </w:r>
      <w:r w:rsidR="00357646" w:rsidRPr="00002B77">
        <w:rPr>
          <w:rFonts w:ascii="Cambria" w:hAnsi="Cambria" w:cs="Arabic Typesetting"/>
        </w:rPr>
        <w:t xml:space="preserve">academic debate. </w:t>
      </w:r>
    </w:p>
    <w:p w14:paraId="4B0D8CFD" w14:textId="77777777" w:rsidR="00357646" w:rsidRPr="00002B77" w:rsidRDefault="00357646" w:rsidP="00357646">
      <w:pPr>
        <w:rPr>
          <w:rFonts w:ascii="Cambria" w:hAnsi="Cambria" w:cs="Arabic Typesetting"/>
          <w:b/>
        </w:rPr>
      </w:pPr>
    </w:p>
    <w:p w14:paraId="4F851443" w14:textId="519DAEA2" w:rsidR="00357646" w:rsidRPr="00002B77" w:rsidRDefault="00BF6A1F" w:rsidP="00357646">
      <w:pPr>
        <w:rPr>
          <w:rFonts w:ascii="Cambria" w:hAnsi="Cambria" w:cs="Arabic Typesetting"/>
          <w:b/>
        </w:rPr>
      </w:pPr>
      <w:r w:rsidRPr="00002B77">
        <w:rPr>
          <w:rFonts w:ascii="Cambria" w:hAnsi="Cambria" w:cs="Arabic Typesetting"/>
          <w:bCs/>
        </w:rPr>
        <w:t>Your</w:t>
      </w:r>
      <w:r w:rsidR="00357646" w:rsidRPr="00002B77">
        <w:rPr>
          <w:rFonts w:ascii="Cambria" w:hAnsi="Cambria" w:cs="Arabic Typesetting"/>
          <w:bCs/>
        </w:rPr>
        <w:t xml:space="preserve"> paper should have a precise thesis and argument and directly addresses the question. Critically evaluate the validity of the academic source materials. Show how </w:t>
      </w:r>
      <w:r w:rsidRPr="00002B77">
        <w:rPr>
          <w:rFonts w:ascii="Cambria" w:hAnsi="Cambria" w:cs="Arabic Typesetting"/>
          <w:bCs/>
        </w:rPr>
        <w:t>each source has its own position and is limited</w:t>
      </w:r>
      <w:r w:rsidR="00357646" w:rsidRPr="00002B77">
        <w:rPr>
          <w:rFonts w:ascii="Cambria" w:hAnsi="Cambria" w:cs="Arabic Typesetting"/>
          <w:bCs/>
        </w:rPr>
        <w:t xml:space="preserve">. Arrive at your own conclusions, rather than just siding with one particular author. </w:t>
      </w:r>
      <w:r w:rsidR="00357646" w:rsidRPr="00002B77">
        <w:rPr>
          <w:rFonts w:ascii="Cambria" w:hAnsi="Cambria" w:cs="Arabic Typesetting"/>
          <w:b/>
        </w:rPr>
        <w:t>Ignoring the question, writing around it, or writing on something else will get you zero points!</w:t>
      </w:r>
    </w:p>
    <w:p w14:paraId="7D77B951" w14:textId="29414FE0" w:rsidR="00BF6A1F" w:rsidRDefault="00BF6A1F" w:rsidP="00357646">
      <w:pPr>
        <w:rPr>
          <w:rFonts w:ascii="Cambria" w:hAnsi="Cambria" w:cs="Arabic Typesetting"/>
          <w:b/>
          <w:sz w:val="20"/>
          <w:szCs w:val="20"/>
        </w:rPr>
      </w:pPr>
    </w:p>
    <w:p w14:paraId="49A201BE" w14:textId="77777777" w:rsidR="00BF6A1F" w:rsidRDefault="00BF6A1F" w:rsidP="00357646">
      <w:pPr>
        <w:rPr>
          <w:rFonts w:ascii="Cambria" w:hAnsi="Cambria" w:cs="Arabic Typesetting"/>
          <w:b/>
          <w:sz w:val="20"/>
          <w:szCs w:val="20"/>
        </w:rPr>
      </w:pPr>
    </w:p>
    <w:p w14:paraId="4316DB29" w14:textId="3B989676" w:rsidR="00BF6A1F" w:rsidRDefault="006E4084" w:rsidP="00BF6A1F">
      <w:pPr>
        <w:rPr>
          <w:rFonts w:ascii="Cambria" w:hAnsi="Cambria" w:cs="Arabic Typesetting"/>
          <w:sz w:val="20"/>
          <w:szCs w:val="20"/>
          <w:u w:val="single"/>
        </w:rPr>
      </w:pPr>
      <w:r>
        <w:rPr>
          <w:rFonts w:ascii="Cambria" w:hAnsi="Cambria" w:cs="Arabic Typesetting"/>
          <w:sz w:val="20"/>
          <w:szCs w:val="20"/>
          <w:u w:val="single"/>
        </w:rPr>
        <w:t>Questions:</w:t>
      </w:r>
    </w:p>
    <w:p w14:paraId="67D1019C" w14:textId="77777777" w:rsidR="006E4084" w:rsidRPr="003D5333" w:rsidRDefault="006E4084" w:rsidP="00BF6A1F">
      <w:pPr>
        <w:rPr>
          <w:rFonts w:ascii="Cambria" w:hAnsi="Cambria" w:cs="Arabic Typesetting"/>
          <w:sz w:val="20"/>
          <w:szCs w:val="20"/>
          <w:u w:val="single"/>
        </w:rPr>
      </w:pPr>
    </w:p>
    <w:p w14:paraId="5EE29154" w14:textId="6CBBD02F" w:rsidR="00BF6A1F" w:rsidRPr="00306455" w:rsidRDefault="00BF6A1F" w:rsidP="00306455">
      <w:pPr>
        <w:pStyle w:val="ListParagraph"/>
        <w:numPr>
          <w:ilvl w:val="0"/>
          <w:numId w:val="1"/>
        </w:numPr>
        <w:rPr>
          <w:rFonts w:ascii="Cambria" w:hAnsi="Cambria" w:cs="Arabic Typesetting"/>
          <w:b/>
          <w:bCs/>
          <w:sz w:val="20"/>
          <w:szCs w:val="20"/>
        </w:rPr>
      </w:pPr>
      <w:r w:rsidRPr="00306455">
        <w:rPr>
          <w:rFonts w:ascii="Cambria" w:hAnsi="Cambria" w:cs="Arabic Typesetting"/>
          <w:b/>
          <w:bCs/>
          <w:sz w:val="20"/>
          <w:szCs w:val="20"/>
        </w:rPr>
        <w:t>Jurisprudence</w:t>
      </w:r>
    </w:p>
    <w:p w14:paraId="34EE30C3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To what extent do rationalist approaches and the influence of contemporary social mores, rather than scriptural sources (Qur'an and Hadith literature), play a formative role in pre-modern Islamic jurisprudence? </w:t>
      </w:r>
    </w:p>
    <w:p w14:paraId="30D17C3C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F97EA01" w14:textId="58F52778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Kecia Ali,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Marriage</w:t>
      </w:r>
      <w:r w:rsidRPr="003D5333">
        <w:rPr>
          <w:rFonts w:ascii="Cambria" w:hAnsi="Cambria" w:cs="Arabic Typesetting"/>
          <w:sz w:val="20"/>
          <w:szCs w:val="20"/>
        </w:rPr>
        <w:t xml:space="preserve">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and Slavery in Early Islam</w:t>
      </w:r>
      <w:r w:rsidRPr="003D5333">
        <w:rPr>
          <w:rFonts w:ascii="Cambria" w:hAnsi="Cambria" w:cs="Arabic Typesetting"/>
          <w:sz w:val="20"/>
          <w:szCs w:val="20"/>
        </w:rPr>
        <w:t xml:space="preserve"> (Harvard UP, 2001)</w:t>
      </w:r>
      <w:r w:rsidR="00002B77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31F90AE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3A23C7A3" w14:textId="5228F9BD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Milka Levy-Rubin, </w:t>
      </w:r>
      <w:r w:rsidRPr="003D5333">
        <w:rPr>
          <w:rFonts w:ascii="Cambria" w:hAnsi="Cambria" w:cs="Arabic Typesetting"/>
          <w:i/>
          <w:sz w:val="20"/>
          <w:szCs w:val="20"/>
        </w:rPr>
        <w:t>Non-Muslims in the Early Islamic Empire: From Surrender to Coexistence</w:t>
      </w:r>
      <w:r w:rsidRPr="003D5333">
        <w:rPr>
          <w:rFonts w:ascii="Cambria" w:hAnsi="Cambria" w:cs="Arabic Typesetting"/>
          <w:sz w:val="20"/>
          <w:szCs w:val="20"/>
        </w:rPr>
        <w:t xml:space="preserve"> (Cambridge UP, 2011)</w:t>
      </w:r>
      <w:r w:rsidR="00002B77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09AE86E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779A808" w14:textId="77777777" w:rsidR="00BF6A1F" w:rsidRPr="003D5333" w:rsidRDefault="00BF6A1F" w:rsidP="00BF6A1F">
      <w:pPr>
        <w:rPr>
          <w:rFonts w:ascii="Cambria" w:hAnsi="Cambria" w:cs="Arabic Typesetting"/>
          <w:iCs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Christopher Melchert, "Whether to Keep the Women out of the Mosque: a survey of pre-modern Islamic Law" In </w:t>
      </w:r>
      <w:r w:rsidRPr="003D5333">
        <w:rPr>
          <w:rFonts w:ascii="Cambria" w:hAnsi="Cambria" w:cs="Arabic Typesetting"/>
          <w:i/>
          <w:sz w:val="20"/>
          <w:szCs w:val="20"/>
        </w:rPr>
        <w:t xml:space="preserve">Authority, Privacy, and Public Order in Islam </w:t>
      </w:r>
      <w:r w:rsidRPr="003D5333">
        <w:rPr>
          <w:rFonts w:ascii="Cambria" w:hAnsi="Cambria" w:cs="Arabic Typesetting"/>
          <w:iCs/>
          <w:sz w:val="20"/>
          <w:szCs w:val="20"/>
        </w:rPr>
        <w:t>(Peeters Publishers and Department of Oriental Studies, 2006): 59-119.</w:t>
      </w:r>
    </w:p>
    <w:p w14:paraId="612FEE28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6D057AA" w14:textId="2E371BAE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Behnam Sadeghi,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The Logic of Law-Making in Islam: Women and Prayer in Legal Tradition</w:t>
      </w:r>
      <w:r w:rsidRPr="003D5333">
        <w:rPr>
          <w:rFonts w:ascii="Cambria" w:hAnsi="Cambria" w:cs="Arabic Typesetting"/>
          <w:sz w:val="20"/>
          <w:szCs w:val="20"/>
        </w:rPr>
        <w:t xml:space="preserve"> (Cambridge UP, 2013)</w:t>
      </w:r>
      <w:r w:rsidR="00002B77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01BFD427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373A82E8" w14:textId="7E6697D5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Susan Spectorsky, </w:t>
      </w:r>
      <w:r w:rsidRPr="003D5333">
        <w:rPr>
          <w:rFonts w:ascii="Cambria" w:hAnsi="Cambria" w:cs="Arabic Typesetting"/>
          <w:i/>
          <w:sz w:val="20"/>
          <w:szCs w:val="20"/>
        </w:rPr>
        <w:t>Women</w:t>
      </w:r>
      <w:r w:rsidRPr="003D5333">
        <w:rPr>
          <w:rFonts w:ascii="Cambria" w:hAnsi="Cambria" w:cs="Arabic Typesetting"/>
          <w:sz w:val="20"/>
          <w:szCs w:val="20"/>
        </w:rPr>
        <w:t xml:space="preserve"> </w:t>
      </w:r>
      <w:r w:rsidRPr="003D5333">
        <w:rPr>
          <w:rFonts w:ascii="Cambria" w:hAnsi="Cambria" w:cs="Arabic Typesetting"/>
          <w:i/>
          <w:sz w:val="20"/>
          <w:szCs w:val="20"/>
        </w:rPr>
        <w:t>in Classical Islamic Law: A Survey of the Sources</w:t>
      </w:r>
      <w:r w:rsidRPr="003D5333">
        <w:rPr>
          <w:rFonts w:ascii="Cambria" w:hAnsi="Cambria" w:cs="Arabic Typesetting"/>
          <w:sz w:val="20"/>
          <w:szCs w:val="20"/>
        </w:rPr>
        <w:t xml:space="preserve"> (Brill, 2010)</w:t>
      </w:r>
      <w:r w:rsidR="00002B77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5AC74FC2" w14:textId="77777777" w:rsidR="006E4084" w:rsidRDefault="006E4084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221A8B6B" w14:textId="436C8D6A" w:rsidR="00BF6A1F" w:rsidRPr="00306455" w:rsidRDefault="00BF6A1F" w:rsidP="00306455">
      <w:pPr>
        <w:pStyle w:val="ListParagraph"/>
        <w:numPr>
          <w:ilvl w:val="0"/>
          <w:numId w:val="1"/>
        </w:numPr>
        <w:rPr>
          <w:rFonts w:ascii="Cambria" w:hAnsi="Cambria" w:cs="Arabic Typesetting"/>
          <w:b/>
          <w:bCs/>
          <w:sz w:val="20"/>
          <w:szCs w:val="20"/>
        </w:rPr>
      </w:pPr>
      <w:r w:rsidRPr="00306455">
        <w:rPr>
          <w:rFonts w:ascii="Cambria" w:hAnsi="Cambria" w:cs="Arabic Typesetting"/>
          <w:b/>
          <w:bCs/>
          <w:sz w:val="20"/>
          <w:szCs w:val="20"/>
        </w:rPr>
        <w:t>Qur'anic Origins</w:t>
      </w:r>
    </w:p>
    <w:p w14:paraId="6F635352" w14:textId="0E925EBA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Evaluate the different types of literary evidence used by Qur'an scholars to argue for Christian and Persian religious influences on the Qur'an</w:t>
      </w:r>
      <w:r w:rsidR="00EC3B0D">
        <w:rPr>
          <w:rFonts w:ascii="Cambria" w:hAnsi="Cambria" w:cs="Arabic Typesetting"/>
          <w:sz w:val="20"/>
          <w:szCs w:val="20"/>
        </w:rPr>
        <w:t>,</w:t>
      </w:r>
      <w:r w:rsidRPr="003D5333">
        <w:rPr>
          <w:rFonts w:ascii="Cambria" w:hAnsi="Cambria" w:cs="Arabic Typesetting"/>
          <w:sz w:val="20"/>
          <w:szCs w:val="20"/>
        </w:rPr>
        <w:t xml:space="preserve"> and describe what this evidence tells us about the cultural and religious context of the composition of the Qur'an.</w:t>
      </w:r>
    </w:p>
    <w:p w14:paraId="50806D9E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9FA37EA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Emran El-Badawi,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The Qur'an and the Aramaic Gospel Traditions</w:t>
      </w:r>
      <w:r w:rsidRPr="003D5333">
        <w:rPr>
          <w:rFonts w:ascii="Cambria" w:hAnsi="Cambria" w:cs="Arabic Typesetting"/>
          <w:sz w:val="20"/>
          <w:szCs w:val="20"/>
        </w:rPr>
        <w:t xml:space="preserve"> (Routledge, 2013)</w:t>
      </w:r>
    </w:p>
    <w:p w14:paraId="3F3FECF7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12729B39" w14:textId="06F9D385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Berg, Herbert.</w:t>
      </w:r>
      <w:r w:rsidRPr="003D5333">
        <w:rPr>
          <w:rStyle w:val="apple-converted-space"/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 </w:t>
      </w:r>
      <w:r w:rsidRPr="003D5333">
        <w:rPr>
          <w:rFonts w:ascii="Cambria" w:eastAsia="Arial Unicode MS" w:hAnsi="Cambria" w:cs="Arabic Typesetting"/>
          <w:i/>
          <w:iCs/>
          <w:color w:val="000000"/>
          <w:sz w:val="20"/>
          <w:szCs w:val="20"/>
          <w:shd w:val="clear" w:color="auto" w:fill="FFFFFF"/>
        </w:rPr>
        <w:t>Method and Theory in the Study of Islamic Origins</w:t>
      </w:r>
      <w:r w:rsidRPr="003D5333">
        <w:rPr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 xml:space="preserve">. </w:t>
      </w:r>
      <w:r w:rsidR="00002B77">
        <w:rPr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(</w:t>
      </w:r>
      <w:r w:rsidRPr="003D5333">
        <w:rPr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Leiden: Brill, 2003</w:t>
      </w:r>
      <w:r w:rsidR="00002B77">
        <w:rPr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)</w:t>
      </w:r>
      <w:r w:rsidRPr="003D5333">
        <w:rPr>
          <w:rStyle w:val="apple-converted-space"/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 </w:t>
      </w:r>
      <w:r w:rsidR="00002B77">
        <w:rPr>
          <w:rStyle w:val="apple-converted-space"/>
          <w:rFonts w:ascii="Cambria" w:eastAsia="Arial Unicode MS" w:hAnsi="Cambria" w:cs="Arabic Typesetting"/>
          <w:color w:val="000000"/>
          <w:sz w:val="20"/>
          <w:szCs w:val="20"/>
          <w:shd w:val="clear" w:color="auto" w:fill="FFFFFF"/>
        </w:rPr>
        <w:t>(available as e-book in CONSORT)</w:t>
      </w:r>
    </w:p>
    <w:p w14:paraId="51B984DD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552B041A" w14:textId="0BA8C97D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lastRenderedPageBreak/>
        <w:t xml:space="preserve">Günther Lüling,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A challenge to Islam for reformation: the rediscovery and reliable reconstruction of a comprehensive pre-Islamic Christian hymnal hidden in the Koran under earliest Islamic reinterpretations </w:t>
      </w:r>
      <w:r w:rsidRPr="003D5333">
        <w:rPr>
          <w:rFonts w:ascii="Cambria" w:hAnsi="Cambria" w:cs="Arabic Typesetting"/>
          <w:sz w:val="20"/>
          <w:szCs w:val="20"/>
        </w:rPr>
        <w:t>(Motilal Banarsidass, 2003)</w:t>
      </w:r>
      <w:r w:rsidR="00002B77">
        <w:rPr>
          <w:rFonts w:ascii="Cambria" w:hAnsi="Cambria" w:cs="Arabic Typesetting"/>
          <w:sz w:val="20"/>
          <w:szCs w:val="20"/>
        </w:rPr>
        <w:t xml:space="preserve"> (hard copy available in COW library)</w:t>
      </w:r>
    </w:p>
    <w:p w14:paraId="6E492FE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8BFEF04" w14:textId="79C113EA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Gabriel Reynolds,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The Qur'an and its Biblical Subtext</w:t>
      </w:r>
      <w:r w:rsidRPr="003D5333">
        <w:rPr>
          <w:rFonts w:ascii="Cambria" w:hAnsi="Cambria" w:cs="Arabic Typesetting"/>
          <w:sz w:val="20"/>
          <w:szCs w:val="20"/>
        </w:rPr>
        <w:t xml:space="preserve"> (Routledge, 2010)</w:t>
      </w:r>
      <w:r w:rsidR="00002B77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4641192F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4A700AC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Wansbrough, John E. </w:t>
      </w:r>
      <w:r w:rsidRPr="003D5333">
        <w:rPr>
          <w:rFonts w:ascii="Cambria" w:hAnsi="Cambria" w:cs="Arabic Typesetting"/>
          <w:i/>
          <w:sz w:val="20"/>
          <w:szCs w:val="20"/>
        </w:rPr>
        <w:t xml:space="preserve">The Sectarian Milieu: Content and Composition of Islamic Salvation History. </w:t>
      </w:r>
      <w:r w:rsidRPr="003D5333">
        <w:rPr>
          <w:rFonts w:ascii="Cambria" w:hAnsi="Cambria" w:cs="Arabic Typesetting"/>
          <w:sz w:val="20"/>
          <w:szCs w:val="20"/>
        </w:rPr>
        <w:t>(Oxford University Press, 1978)</w:t>
      </w:r>
    </w:p>
    <w:p w14:paraId="475A1A9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6BA98FF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Kevin van Bladel, "Heavenly cords and prophetic authority in the Qur'an and its Late Antique context," Bulletin of the School of Oriental and African Studies Vol 70 Issue 2 (June 2007) 223-246.</w:t>
      </w:r>
    </w:p>
    <w:p w14:paraId="1DDBCF0F" w14:textId="523F876B" w:rsidR="00BF6A1F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A3B04A3" w14:textId="77777777" w:rsidR="006E4084" w:rsidRPr="003D5333" w:rsidRDefault="006E4084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14A32E52" w14:textId="4B362F83" w:rsidR="00BF6A1F" w:rsidRPr="00306455" w:rsidRDefault="00BF6A1F" w:rsidP="00306455">
      <w:pPr>
        <w:pStyle w:val="ListParagraph"/>
        <w:numPr>
          <w:ilvl w:val="0"/>
          <w:numId w:val="1"/>
        </w:numPr>
        <w:rPr>
          <w:rFonts w:ascii="Cambria" w:hAnsi="Cambria" w:cs="Arabic Typesetting"/>
          <w:b/>
          <w:bCs/>
          <w:sz w:val="20"/>
          <w:szCs w:val="20"/>
        </w:rPr>
      </w:pPr>
      <w:r w:rsidRPr="00306455">
        <w:rPr>
          <w:rFonts w:ascii="Cambria" w:hAnsi="Cambria" w:cs="Arabic Typesetting"/>
          <w:b/>
          <w:bCs/>
          <w:sz w:val="20"/>
          <w:szCs w:val="20"/>
        </w:rPr>
        <w:t>Terrorism</w:t>
      </w:r>
    </w:p>
    <w:p w14:paraId="5334B849" w14:textId="4387F6F2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To what extent are the strategies and methods employed by Al-Qaida in the late 1990s and early 2000s and those applied in the last </w:t>
      </w:r>
      <w:r w:rsidR="00EC3B0D">
        <w:rPr>
          <w:rFonts w:ascii="Cambria" w:hAnsi="Cambria" w:cs="Arabic Typesetting"/>
          <w:sz w:val="20"/>
          <w:szCs w:val="20"/>
        </w:rPr>
        <w:t xml:space="preserve">few </w:t>
      </w:r>
      <w:r w:rsidRPr="003D5333">
        <w:rPr>
          <w:rFonts w:ascii="Cambria" w:hAnsi="Cambria" w:cs="Arabic Typesetting"/>
          <w:sz w:val="20"/>
          <w:szCs w:val="20"/>
        </w:rPr>
        <w:t>years by the ISIS/IS terrorist organization pragmatic rather than ideological, and to what extent do they differ from each other in that regard?</w:t>
      </w:r>
    </w:p>
    <w:p w14:paraId="288EA0B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2B837F1" w14:textId="6D7AABC4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Abdel Bari Atwan,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The Secret History of al-Qaeda, </w:t>
      </w:r>
      <w:r w:rsidRPr="003D5333">
        <w:rPr>
          <w:rFonts w:ascii="Cambria" w:hAnsi="Cambria" w:cs="Arabic Typesetting"/>
          <w:sz w:val="20"/>
          <w:szCs w:val="20"/>
        </w:rPr>
        <w:t>updated edition (Univ. of California Press, 2008)</w:t>
      </w:r>
      <w:r w:rsidR="006E4084">
        <w:rPr>
          <w:rFonts w:ascii="Cambria" w:hAnsi="Cambria" w:cs="Arabic Typesetting"/>
          <w:sz w:val="20"/>
          <w:szCs w:val="20"/>
        </w:rPr>
        <w:t xml:space="preserve"> (hard copy available at COW library)</w:t>
      </w:r>
    </w:p>
    <w:p w14:paraId="7046D983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91362F0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Faisal Devji,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Landscapes of the Jihad </w:t>
      </w:r>
      <w:r w:rsidRPr="003D5333">
        <w:rPr>
          <w:rFonts w:ascii="Cambria" w:hAnsi="Cambria" w:cs="Arabic Typesetting"/>
          <w:sz w:val="20"/>
          <w:szCs w:val="20"/>
        </w:rPr>
        <w:t>(Cornell UP, 2005)</w:t>
      </w:r>
    </w:p>
    <w:p w14:paraId="27C774C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29D76C67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Michael Doran, "The Pragmatic Fanaticism of Al Qaeda: An Anatomy of Extremism in Middle Eastern Politics"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Political Science Quarterly</w:t>
      </w:r>
      <w:r w:rsidRPr="003D5333">
        <w:rPr>
          <w:rFonts w:ascii="Cambria" w:hAnsi="Cambria" w:cs="Arabic Typesetting"/>
          <w:sz w:val="20"/>
          <w:szCs w:val="20"/>
        </w:rPr>
        <w:t xml:space="preserve"> Vol. 117, No. 2 (Summer 2002): 177-190.</w:t>
      </w:r>
    </w:p>
    <w:p w14:paraId="48668628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2035851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Harleen K. Gambhir, "Dabiq: The Strategic Messaging of the Islamic State" Institute for the Study of War,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Backgrounder</w:t>
      </w:r>
      <w:r w:rsidRPr="003D5333">
        <w:rPr>
          <w:rFonts w:ascii="Cambria" w:hAnsi="Cambria" w:cs="Arabic Typesetting"/>
          <w:sz w:val="20"/>
          <w:szCs w:val="20"/>
        </w:rPr>
        <w:t>, Aug. 15, 2014.</w:t>
      </w:r>
    </w:p>
    <w:p w14:paraId="403FDE62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D432852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J. Peter Pham, "The Dangerous 'Pragmatism" of Al-Qaeda in the Islamic Maghreb,"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Journal of the Middle East and Africa</w:t>
      </w:r>
      <w:r w:rsidRPr="003D5333">
        <w:rPr>
          <w:rFonts w:ascii="Cambria" w:hAnsi="Cambria" w:cs="Arabic Typesetting"/>
          <w:sz w:val="20"/>
          <w:szCs w:val="20"/>
        </w:rPr>
        <w:t>, Vol 2 Issue 1 (2011): 15-29.</w:t>
      </w:r>
    </w:p>
    <w:p w14:paraId="446EC002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7C8EE0E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Peter J. Phillips, "Terrorist Group Brutality and the Emergence of the Islamic State (ISIS)" working paper, Social Sciences Research Network, Aug. 12, 2014</w:t>
      </w:r>
    </w:p>
    <w:p w14:paraId="22618D6B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137AFECA" w14:textId="77777777" w:rsidR="00BF6A1F" w:rsidRPr="003D5333" w:rsidRDefault="00BF6A1F" w:rsidP="00BF6A1F">
      <w:pPr>
        <w:autoSpaceDE w:val="0"/>
        <w:autoSpaceDN w:val="0"/>
        <w:adjustRightInd w:val="0"/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Caroline Picart, “’Jihad Cool/Jihad Chic’: The Roles of the Internet and Imagined Relations in the Self-Radicalization of Collen LaRose (Jihad Jane),” </w:t>
      </w:r>
      <w:r w:rsidRPr="003D5333">
        <w:rPr>
          <w:rFonts w:ascii="Cambria" w:hAnsi="Cambria" w:cs="Arabic Typesetting"/>
          <w:i/>
          <w:sz w:val="20"/>
          <w:szCs w:val="20"/>
        </w:rPr>
        <w:t xml:space="preserve">Societies </w:t>
      </w:r>
      <w:r w:rsidRPr="003D5333">
        <w:rPr>
          <w:rFonts w:ascii="Cambria" w:hAnsi="Cambria" w:cs="Arabic Typesetting"/>
          <w:sz w:val="20"/>
          <w:szCs w:val="20"/>
        </w:rPr>
        <w:t>5 (2015): 354-383</w:t>
      </w:r>
    </w:p>
    <w:p w14:paraId="708D58B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799102F9" w14:textId="66B58381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Michael W. S. Ryan,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Decoding Al-Qaeda's Strategy: The Deep Battle Against America </w:t>
      </w:r>
      <w:r w:rsidRPr="003D5333">
        <w:rPr>
          <w:rFonts w:ascii="Cambria" w:hAnsi="Cambria" w:cs="Arabic Typesetting"/>
          <w:sz w:val="20"/>
          <w:szCs w:val="20"/>
        </w:rPr>
        <w:t>(Columbia UP, 2013)</w:t>
      </w:r>
      <w:r w:rsidR="006E4084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4B2C07F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733A4BCB" w14:textId="4291D406" w:rsidR="00BF6A1F" w:rsidRPr="003D5333" w:rsidRDefault="00BF6A1F" w:rsidP="00BF6A1F">
      <w:pPr>
        <w:rPr>
          <w:rFonts w:ascii="Cambria" w:hAnsi="Cambria" w:cs="Arabic Typesetting"/>
          <w:iCs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Jacob N. Shapiro, </w:t>
      </w:r>
      <w:r w:rsidRPr="003D5333">
        <w:rPr>
          <w:rFonts w:ascii="Cambria" w:hAnsi="Cambria" w:cs="Arabic Typesetting"/>
          <w:i/>
          <w:sz w:val="20"/>
          <w:szCs w:val="20"/>
        </w:rPr>
        <w:t xml:space="preserve">The Terrorist's Dilemma: Managing Violent Covert Organizations </w:t>
      </w:r>
      <w:r w:rsidRPr="003D5333">
        <w:rPr>
          <w:rFonts w:ascii="Cambria" w:hAnsi="Cambria" w:cs="Arabic Typesetting"/>
          <w:iCs/>
          <w:sz w:val="20"/>
          <w:szCs w:val="20"/>
        </w:rPr>
        <w:t>(Princeton UP, 2013) chapters 3 and 4</w:t>
      </w:r>
      <w:r w:rsidR="006E4084">
        <w:rPr>
          <w:rFonts w:ascii="Cambria" w:hAnsi="Cambria" w:cs="Arabic Typesetting"/>
          <w:iCs/>
          <w:sz w:val="20"/>
          <w:szCs w:val="20"/>
        </w:rPr>
        <w:t xml:space="preserve"> (available as e-book in CONSORT)</w:t>
      </w:r>
    </w:p>
    <w:p w14:paraId="1E7AAC60" w14:textId="77777777" w:rsidR="00BF6A1F" w:rsidRPr="003D5333" w:rsidRDefault="00BF6A1F" w:rsidP="00BF6A1F">
      <w:pPr>
        <w:rPr>
          <w:rFonts w:ascii="Cambria" w:hAnsi="Cambria" w:cs="Arabic Typesetting"/>
          <w:iCs/>
          <w:sz w:val="20"/>
          <w:szCs w:val="20"/>
        </w:rPr>
      </w:pPr>
    </w:p>
    <w:p w14:paraId="63339BA4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Manuel R. Torres Soriano, "The Road to Media Jihad: The Propaganda Actions of Al Qaeda in the Islamic Maghreb"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Terrorism and Political Violence</w:t>
      </w:r>
      <w:r w:rsidRPr="003D5333">
        <w:rPr>
          <w:rFonts w:ascii="Cambria" w:hAnsi="Cambria" w:cs="Arabic Typesetting"/>
          <w:sz w:val="20"/>
          <w:szCs w:val="20"/>
        </w:rPr>
        <w:t>, Vol. 23 Issue 1 (2010): 72-88.</w:t>
      </w:r>
    </w:p>
    <w:p w14:paraId="4DE6C85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29A031FB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Aaron Y. Zelin, "The War between ISIS and al-Qaeda for Supremacy of the Global Jihadist Movement," The Washington Institute for Near East Policy,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Research Notes</w:t>
      </w:r>
      <w:r w:rsidRPr="003D5333">
        <w:rPr>
          <w:rFonts w:ascii="Cambria" w:hAnsi="Cambria" w:cs="Arabic Typesetting"/>
          <w:sz w:val="20"/>
          <w:szCs w:val="20"/>
        </w:rPr>
        <w:t xml:space="preserve"> 20 (June 2014) </w:t>
      </w:r>
    </w:p>
    <w:p w14:paraId="01AA4081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A3D516B" w14:textId="52198126" w:rsidR="006E4084" w:rsidRDefault="006E4084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377C6379" w14:textId="3A00FC8A" w:rsidR="00EC3B0D" w:rsidRDefault="00EC3B0D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52E4FCF8" w14:textId="35C990D5" w:rsidR="00EC3B0D" w:rsidRDefault="00EC3B0D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10C613F3" w14:textId="77777777" w:rsidR="00EC3B0D" w:rsidRDefault="00EC3B0D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2ABBCFC9" w14:textId="77777777" w:rsidR="00306455" w:rsidRDefault="00306455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7B7951ED" w14:textId="5C62E815" w:rsidR="00BF6A1F" w:rsidRPr="00306455" w:rsidRDefault="00BF6A1F" w:rsidP="00306455">
      <w:pPr>
        <w:pStyle w:val="ListParagraph"/>
        <w:numPr>
          <w:ilvl w:val="0"/>
          <w:numId w:val="1"/>
        </w:numPr>
        <w:rPr>
          <w:rFonts w:ascii="Cambria" w:hAnsi="Cambria" w:cs="Arabic Typesetting"/>
          <w:b/>
          <w:bCs/>
          <w:sz w:val="20"/>
          <w:szCs w:val="20"/>
        </w:rPr>
      </w:pPr>
      <w:r w:rsidRPr="00306455">
        <w:rPr>
          <w:rFonts w:ascii="Cambria" w:hAnsi="Cambria" w:cs="Arabic Typesetting"/>
          <w:b/>
          <w:bCs/>
          <w:sz w:val="20"/>
          <w:szCs w:val="20"/>
        </w:rPr>
        <w:lastRenderedPageBreak/>
        <w:t>Sexual minorities</w:t>
      </w:r>
    </w:p>
    <w:p w14:paraId="7848F2B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To what extent has the Iranian state determined the construction of sexuality and gender in the last fifty years?</w:t>
      </w:r>
    </w:p>
    <w:p w14:paraId="219491BA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5BA7636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Janet Afary,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Sexual Politics in Modern Iran </w:t>
      </w:r>
      <w:r w:rsidRPr="003D5333">
        <w:rPr>
          <w:rFonts w:ascii="Cambria" w:hAnsi="Cambria" w:cs="Arabic Typesetting"/>
          <w:sz w:val="20"/>
          <w:szCs w:val="20"/>
        </w:rPr>
        <w:t>(Cambridge UP, 2009).</w:t>
      </w:r>
    </w:p>
    <w:p w14:paraId="3F9DA0FD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1D35EEB1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Elizabeth M. Bucar and Faegheh Shirazi, "The 'Invention' of Lesbian Acts in Iran: Interpretive Moves, Hidden Assumptions, and Emerging Categories of Sexuality"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Journal of Lesbian Studies </w:t>
      </w:r>
      <w:r w:rsidRPr="003D5333">
        <w:rPr>
          <w:rFonts w:ascii="Cambria" w:hAnsi="Cambria" w:cs="Arabic Typesetting"/>
          <w:sz w:val="20"/>
          <w:szCs w:val="20"/>
        </w:rPr>
        <w:t>Vol 16 Issue 4 (Oct 2012): 416-34.</w:t>
      </w:r>
    </w:p>
    <w:p w14:paraId="3912BB8A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1EB182AA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Maryam Dezhamkhooy and Leila Papoli Yazdi, "Breaking the Borders/Violating the Norms: An Archaeological Survey of an Intersex in a Traditional Society, Bam (South Eastern Iran"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Sexuality &amp; Culture </w:t>
      </w:r>
      <w:r w:rsidRPr="003D5333">
        <w:rPr>
          <w:rFonts w:ascii="Cambria" w:hAnsi="Cambria" w:cs="Arabic Typesetting"/>
          <w:sz w:val="20"/>
          <w:szCs w:val="20"/>
        </w:rPr>
        <w:t>(July 2012)</w:t>
      </w:r>
    </w:p>
    <w:p w14:paraId="1AEE6BF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47B05252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Katarzyna Korycki and Abouzar Nasirzadeh, "Homophobia as a Tool of Statecraft: Iran and its Queers," paper presented at Western Political Science Association, Portland, Oregon, March 22-24, 2012</w:t>
      </w:r>
    </w:p>
    <w:p w14:paraId="5252F618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http://wpsa.research.pdx.edu/meet/2012/nasirzadeh.pdf</w:t>
      </w:r>
    </w:p>
    <w:p w14:paraId="53B7DC8C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4F94BAEE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K. Koshnood "Social stigma, homosexuality and transsexuality in Iran"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Sexologies</w:t>
      </w:r>
      <w:r w:rsidRPr="003D5333">
        <w:rPr>
          <w:rFonts w:ascii="Cambria" w:hAnsi="Cambria" w:cs="Arabic Typesetting"/>
          <w:sz w:val="20"/>
          <w:szCs w:val="20"/>
        </w:rPr>
        <w:t>, Vol 17 Supp. 1 (April 2008)</w:t>
      </w:r>
    </w:p>
    <w:p w14:paraId="17D40EA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3D4326D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Pardis Mahdavi, "'The personal is political and the political is personal: sexuality, politics and social movements in modern Iran" In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Understanding Global Sexualities: New Frontiers</w:t>
      </w:r>
      <w:r w:rsidRPr="003D5333">
        <w:rPr>
          <w:rFonts w:ascii="Cambria" w:hAnsi="Cambria" w:cs="Arabic Typesetting"/>
          <w:sz w:val="20"/>
          <w:szCs w:val="20"/>
        </w:rPr>
        <w:t>. Peter Aggleton and Paul Boyce et. al., eds. (Routledge, 2012)</w:t>
      </w:r>
    </w:p>
    <w:p w14:paraId="5435B77B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2BCCDE6C" w14:textId="13FC6019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Minoo Moallem,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Between Warrior Brother and Veiled Sister: Islamic Fundamentalism and the Politics of Patriarchy in Iran </w:t>
      </w:r>
      <w:r w:rsidRPr="003D5333">
        <w:rPr>
          <w:rFonts w:ascii="Cambria" w:hAnsi="Cambria" w:cs="Arabic Typesetting"/>
          <w:sz w:val="20"/>
          <w:szCs w:val="20"/>
        </w:rPr>
        <w:t>(Univ. of California Press, 2005)</w:t>
      </w:r>
      <w:r w:rsidR="00306455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6D7DAEEC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9AC7DD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Afsaneh Najmabadi,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Professing Selves: Transsexuality and Same-Sex Desire in Contemporary Iran</w:t>
      </w:r>
      <w:r w:rsidRPr="003D5333">
        <w:rPr>
          <w:rFonts w:ascii="Cambria" w:hAnsi="Cambria" w:cs="Arabic Typesetting"/>
          <w:sz w:val="20"/>
          <w:szCs w:val="20"/>
        </w:rPr>
        <w:t xml:space="preserve"> (Duke UP, 2013)</w:t>
      </w:r>
    </w:p>
    <w:p w14:paraId="39643603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---. "Transing and Transpassing Across Sex Gender Lines in Contemporary Iran"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Women Studies' Quarterly </w:t>
      </w:r>
      <w:r w:rsidRPr="003D5333">
        <w:rPr>
          <w:rFonts w:ascii="Cambria" w:hAnsi="Cambria" w:cs="Arabic Typesetting"/>
          <w:sz w:val="20"/>
          <w:szCs w:val="20"/>
        </w:rPr>
        <w:t>36/3-4 (2008): 23-42.</w:t>
      </w:r>
    </w:p>
    <w:p w14:paraId="5478DE91" w14:textId="659F54E1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---.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Women with Mustaches and Men without Beards: Gender and Sexualities in Iranian Modernity</w:t>
      </w:r>
      <w:r w:rsidRPr="003D5333">
        <w:rPr>
          <w:rFonts w:ascii="Cambria" w:hAnsi="Cambria" w:cs="Arabic Typesetting"/>
          <w:sz w:val="20"/>
          <w:szCs w:val="20"/>
        </w:rPr>
        <w:t xml:space="preserve"> (Univ. of California Press, 2005)</w:t>
      </w:r>
      <w:r w:rsidR="00306455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3BFF337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486677C8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Leila Papoli Yazdi, "Public and Private Lives in Iran: An Introduction to the Archaeology of the 2003 Bam Earthquake," 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Archaeologies: Journal of the World Archaeological Congress </w:t>
      </w:r>
      <w:r w:rsidRPr="003D5333">
        <w:rPr>
          <w:rFonts w:ascii="Cambria" w:hAnsi="Cambria" w:cs="Arabic Typesetting"/>
          <w:sz w:val="20"/>
          <w:szCs w:val="20"/>
        </w:rPr>
        <w:t>(2010)</w:t>
      </w:r>
    </w:p>
    <w:p w14:paraId="1E0E10CB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57D1C5BB" w14:textId="77777777" w:rsidR="00306455" w:rsidRDefault="00306455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p w14:paraId="1CA70D1F" w14:textId="10972C73" w:rsidR="00BF6A1F" w:rsidRPr="00306455" w:rsidRDefault="00BF6A1F" w:rsidP="00306455">
      <w:pPr>
        <w:pStyle w:val="ListParagraph"/>
        <w:numPr>
          <w:ilvl w:val="0"/>
          <w:numId w:val="1"/>
        </w:numPr>
        <w:rPr>
          <w:rFonts w:ascii="Cambria" w:hAnsi="Cambria" w:cs="Arabic Typesetting"/>
          <w:b/>
          <w:bCs/>
          <w:sz w:val="20"/>
          <w:szCs w:val="20"/>
        </w:rPr>
      </w:pPr>
      <w:r w:rsidRPr="00306455">
        <w:rPr>
          <w:rFonts w:ascii="Cambria" w:hAnsi="Cambria" w:cs="Arabic Typesetting"/>
          <w:b/>
          <w:bCs/>
          <w:sz w:val="20"/>
          <w:szCs w:val="20"/>
        </w:rPr>
        <w:t>Women</w:t>
      </w:r>
    </w:p>
    <w:p w14:paraId="4FAF1BC7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Did the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hujum</w:t>
      </w:r>
      <w:r w:rsidRPr="003D5333">
        <w:rPr>
          <w:rFonts w:ascii="Cambria" w:hAnsi="Cambria" w:cs="Arabic Typesetting"/>
          <w:sz w:val="20"/>
          <w:szCs w:val="20"/>
        </w:rPr>
        <w:t xml:space="preserve"> campaign of unveiling women in central Asia liberate them or was it a device for colonialism, ethnic humiliation, and totalitarianism?</w:t>
      </w:r>
    </w:p>
    <w:p w14:paraId="0BC98001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4C40709E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>Zouhal Avzalchoeva "'Nobody Beats An Obedient Woman': State and Non-State Responses to Violence Against Women in Tajikistan" PhD Diss, Sussex Law School, 2012. (pp. 58-67)</w:t>
      </w:r>
    </w:p>
    <w:p w14:paraId="5F2D377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64B59071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Adrienne Lynn Edgar "Emancipation of the Unveiled: Turkmen Women under Soviet Rule, 1924-29"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Russian Review</w:t>
      </w:r>
      <w:r w:rsidRPr="003D5333">
        <w:rPr>
          <w:rFonts w:ascii="Cambria" w:hAnsi="Cambria" w:cs="Arabic Typesetting"/>
          <w:sz w:val="20"/>
          <w:szCs w:val="20"/>
        </w:rPr>
        <w:t xml:space="preserve"> Vol 62 No 1 (Jan 2003): 132-49</w:t>
      </w:r>
    </w:p>
    <w:p w14:paraId="24733271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7262E86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Marianne Kamp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The</w:t>
      </w:r>
      <w:r w:rsidRPr="003D5333">
        <w:rPr>
          <w:rFonts w:ascii="Cambria" w:hAnsi="Cambria" w:cs="Arabic Typesetting"/>
          <w:sz w:val="20"/>
          <w:szCs w:val="20"/>
        </w:rPr>
        <w:t xml:space="preserve">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New Women in Uzbekistan: Islam, Modernity, and Unveiling Under Communism</w:t>
      </w:r>
      <w:r w:rsidRPr="003D5333">
        <w:rPr>
          <w:rFonts w:ascii="Cambria" w:hAnsi="Cambria" w:cs="Arabic Typesetting"/>
          <w:sz w:val="20"/>
          <w:szCs w:val="20"/>
        </w:rPr>
        <w:t xml:space="preserve"> (Seattle: Univ. of Washington Press, 2006)</w:t>
      </w:r>
    </w:p>
    <w:p w14:paraId="1071AD5A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---. "Femicide as Terrorism: The Case of Uzbekistan's Unveiling Murders" In James K. Wellman Jr., ed.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Belief and Bloodshed: Religion and Violence across Time and Tradition</w:t>
      </w:r>
      <w:r w:rsidRPr="003D5333">
        <w:rPr>
          <w:rFonts w:ascii="Cambria" w:hAnsi="Cambria" w:cs="Arabic Typesetting"/>
          <w:sz w:val="20"/>
          <w:szCs w:val="20"/>
        </w:rPr>
        <w:t xml:space="preserve"> (Lanham: Rowman and Littlefield Publishers, 2007)</w:t>
      </w:r>
    </w:p>
    <w:p w14:paraId="3DED62F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---. "Pilgrimage and Performance: Uzbek Women and the Imagining of Uzbekistan in the 1920s" </w:t>
      </w:r>
      <w:r w:rsidRPr="003D5333">
        <w:rPr>
          <w:rFonts w:ascii="Cambria" w:hAnsi="Cambria" w:cs="Arabic Typesetting"/>
          <w:i/>
          <w:iCs/>
          <w:sz w:val="20"/>
          <w:szCs w:val="20"/>
        </w:rPr>
        <w:t xml:space="preserve">International Journal of Middle Eastern Studies </w:t>
      </w:r>
      <w:r w:rsidRPr="003D5333">
        <w:rPr>
          <w:rFonts w:ascii="Cambria" w:hAnsi="Cambria" w:cs="Arabic Typesetting"/>
          <w:sz w:val="20"/>
          <w:szCs w:val="20"/>
        </w:rPr>
        <w:t>34 (2002): 263-78.</w:t>
      </w:r>
    </w:p>
    <w:p w14:paraId="56FA4BA9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5B35797F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lastRenderedPageBreak/>
        <w:t xml:space="preserve">Zeev Levin "The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Khujum</w:t>
      </w:r>
      <w:r w:rsidRPr="003D5333">
        <w:rPr>
          <w:rFonts w:ascii="Cambria" w:hAnsi="Cambria" w:cs="Arabic Typesetting"/>
          <w:sz w:val="20"/>
          <w:szCs w:val="20"/>
        </w:rPr>
        <w:t xml:space="preserve"> Campaign in Uzbekistan and the Jewish Women of Bukhara" In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Gender Politics in Central Asia: Historical Perspectives and Current Living Conditions of Women</w:t>
      </w:r>
      <w:r w:rsidRPr="003D5333">
        <w:rPr>
          <w:rFonts w:ascii="Cambria" w:hAnsi="Cambria" w:cs="Arabic Typesetting"/>
          <w:sz w:val="20"/>
          <w:szCs w:val="20"/>
        </w:rPr>
        <w:t xml:space="preserve"> (Koln: Bohlau, 2008)</w:t>
      </w:r>
    </w:p>
    <w:p w14:paraId="2D82D494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F220AA2" w14:textId="04414AF2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Douglas Northrop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Veiled Empire: Gender and Power in Stalinist Central Asia</w:t>
      </w:r>
      <w:r w:rsidRPr="003D5333">
        <w:rPr>
          <w:rFonts w:ascii="Cambria" w:hAnsi="Cambria" w:cs="Arabic Typesetting"/>
          <w:sz w:val="20"/>
          <w:szCs w:val="20"/>
        </w:rPr>
        <w:t xml:space="preserve">  (Cornell UP, 2004)</w:t>
      </w:r>
      <w:r w:rsidR="00306455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7032B7FE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---. "Hujum: Unveiling Campaigns and Local Responses in Uzbekistan, 1927" In Donald J. Raleigh, ed.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Provincial Landscapes: Local Dimensions of Soviet Power, 1917-1953</w:t>
      </w:r>
      <w:r w:rsidRPr="003D5333">
        <w:rPr>
          <w:rFonts w:ascii="Cambria" w:hAnsi="Cambria" w:cs="Arabic Typesetting"/>
          <w:sz w:val="20"/>
          <w:szCs w:val="20"/>
        </w:rPr>
        <w:t>. (Univ. of Pittsburgh Press, 2001)</w:t>
      </w:r>
    </w:p>
    <w:p w14:paraId="64C97AFD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2080358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Chiara De Santi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Strategies of Sovietization in Central Asia: the Red Cross and Red Crescent, the Hujum, and the Purges, 1924-1930</w:t>
      </w:r>
      <w:r w:rsidRPr="003D5333">
        <w:rPr>
          <w:rFonts w:ascii="Cambria" w:hAnsi="Cambria" w:cs="Arabic Typesetting"/>
          <w:sz w:val="20"/>
          <w:szCs w:val="20"/>
        </w:rPr>
        <w:t xml:space="preserve"> (Lambert Academic Publishing, 2009)</w:t>
      </w:r>
    </w:p>
    <w:p w14:paraId="71920196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953C245" w14:textId="18820D3D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  <w:r w:rsidRPr="003D5333">
        <w:rPr>
          <w:rFonts w:ascii="Cambria" w:hAnsi="Cambria" w:cs="Arabic Typesetting"/>
          <w:sz w:val="20"/>
          <w:szCs w:val="20"/>
        </w:rPr>
        <w:t xml:space="preserve">Marfua Tokhtakhodjaeva </w:t>
      </w:r>
      <w:r w:rsidRPr="003D5333">
        <w:rPr>
          <w:rFonts w:ascii="Cambria" w:hAnsi="Cambria" w:cs="Arabic Typesetting"/>
          <w:i/>
          <w:iCs/>
          <w:sz w:val="20"/>
          <w:szCs w:val="20"/>
        </w:rPr>
        <w:t>The re-Islamization of society and the position of women in post-Soviet Uzbekistan</w:t>
      </w:r>
      <w:r w:rsidRPr="003D5333">
        <w:rPr>
          <w:rFonts w:ascii="Cambria" w:hAnsi="Cambria" w:cs="Arabic Typesetting"/>
          <w:sz w:val="20"/>
          <w:szCs w:val="20"/>
        </w:rPr>
        <w:t xml:space="preserve"> (Global Oriental, 2008)</w:t>
      </w:r>
      <w:r w:rsidR="00306455">
        <w:rPr>
          <w:rFonts w:ascii="Cambria" w:hAnsi="Cambria" w:cs="Arabic Typesetting"/>
          <w:sz w:val="20"/>
          <w:szCs w:val="20"/>
        </w:rPr>
        <w:t xml:space="preserve"> (available as e-book in CONSORT)</w:t>
      </w:r>
    </w:p>
    <w:p w14:paraId="6D507E65" w14:textId="77777777" w:rsidR="00BF6A1F" w:rsidRPr="003D5333" w:rsidRDefault="00BF6A1F" w:rsidP="00BF6A1F">
      <w:pPr>
        <w:rPr>
          <w:rFonts w:ascii="Cambria" w:hAnsi="Cambria" w:cs="Arabic Typesetting"/>
          <w:sz w:val="20"/>
          <w:szCs w:val="20"/>
        </w:rPr>
      </w:pPr>
    </w:p>
    <w:p w14:paraId="02381A36" w14:textId="77777777" w:rsidR="00306455" w:rsidRDefault="00306455" w:rsidP="00BF6A1F">
      <w:pPr>
        <w:rPr>
          <w:rFonts w:ascii="Cambria" w:hAnsi="Cambria" w:cs="Arabic Typesetting"/>
          <w:b/>
          <w:bCs/>
          <w:sz w:val="20"/>
          <w:szCs w:val="20"/>
        </w:rPr>
      </w:pPr>
    </w:p>
    <w:sectPr w:rsidR="003064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5B3F" w14:textId="77777777" w:rsidR="0013397B" w:rsidRDefault="0013397B" w:rsidP="00EC3B0D">
      <w:r>
        <w:separator/>
      </w:r>
    </w:p>
  </w:endnote>
  <w:endnote w:type="continuationSeparator" w:id="0">
    <w:p w14:paraId="1A8B4876" w14:textId="77777777" w:rsidR="0013397B" w:rsidRDefault="0013397B" w:rsidP="00EC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052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03798" w14:textId="011097A7" w:rsidR="00EC3B0D" w:rsidRDefault="00EC3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0CDC0" w14:textId="77777777" w:rsidR="00EC3B0D" w:rsidRDefault="00EC3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1120" w14:textId="77777777" w:rsidR="0013397B" w:rsidRDefault="0013397B" w:rsidP="00EC3B0D">
      <w:r>
        <w:separator/>
      </w:r>
    </w:p>
  </w:footnote>
  <w:footnote w:type="continuationSeparator" w:id="0">
    <w:p w14:paraId="25E5BE18" w14:textId="77777777" w:rsidR="0013397B" w:rsidRDefault="0013397B" w:rsidP="00EC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F97"/>
    <w:multiLevelType w:val="hybridMultilevel"/>
    <w:tmpl w:val="F91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46"/>
    <w:rsid w:val="00002B77"/>
    <w:rsid w:val="0013397B"/>
    <w:rsid w:val="00306455"/>
    <w:rsid w:val="00357646"/>
    <w:rsid w:val="003F5364"/>
    <w:rsid w:val="006E4084"/>
    <w:rsid w:val="009B607E"/>
    <w:rsid w:val="009D037F"/>
    <w:rsid w:val="00BF6A1F"/>
    <w:rsid w:val="00EB35DF"/>
    <w:rsid w:val="00E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F566"/>
  <w15:chartTrackingRefBased/>
  <w15:docId w15:val="{E94E7F11-904D-4FD7-8745-B9E05E6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4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F6A1F"/>
  </w:style>
  <w:style w:type="paragraph" w:styleId="ListParagraph">
    <w:name w:val="List Paragraph"/>
    <w:basedOn w:val="Normal"/>
    <w:uiPriority w:val="34"/>
    <w:qFormat/>
    <w:rsid w:val="0030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Mirza</dc:creator>
  <cp:keywords/>
  <dc:description/>
  <cp:lastModifiedBy>Sarah Mirza</cp:lastModifiedBy>
  <cp:revision>7</cp:revision>
  <cp:lastPrinted>2022-04-01T13:44:00Z</cp:lastPrinted>
  <dcterms:created xsi:type="dcterms:W3CDTF">2022-03-27T15:40:00Z</dcterms:created>
  <dcterms:modified xsi:type="dcterms:W3CDTF">2022-04-01T13:54:00Z</dcterms:modified>
</cp:coreProperties>
</file>